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技术要求：</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轻巧便携、一体集成、扫码登录、自动称重、信息同步、全程监控，体积小、重量轻，能适合于绝大部分场景。</w:t>
      </w:r>
    </w:p>
    <w:p>
      <w:pPr>
        <w:ind w:firstLine="643" w:firstLineChars="200"/>
        <w:jc w:val="left"/>
        <w:rPr>
          <w:rFonts w:hint="eastAsia" w:ascii="仿宋" w:hAnsi="仿宋" w:eastAsia="仿宋" w:cs="仿宋"/>
          <w:b/>
          <w:bCs/>
          <w:color w:val="FF0000"/>
          <w:sz w:val="32"/>
          <w:szCs w:val="32"/>
          <w:lang w:eastAsia="zh-CN"/>
        </w:rPr>
      </w:pPr>
      <w:r>
        <w:rPr>
          <w:rFonts w:hint="eastAsia" w:ascii="仿宋" w:hAnsi="仿宋" w:eastAsia="仿宋" w:cs="仿宋"/>
          <w:b/>
          <w:bCs/>
          <w:color w:val="FF0000"/>
          <w:sz w:val="32"/>
          <w:szCs w:val="32"/>
          <w:lang w:eastAsia="zh-CN"/>
        </w:rPr>
        <w:t>★设备必须支持同时连接云南省医废信息化平台和红河州医废信息化平台。</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设备主要参数：</w:t>
      </w: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称体参数：</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1.工作温度范围:-20℃～55℃</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2.称重最大重量:100Kg </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3.称重精度:0.01Kg </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4.供电方式:可充电锂电池组12V/16Ah</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5.供电电压范围:直流9V～15V</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6.静态电流:0.15A</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7.瞬时最大工作电流: 1.6A</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8.通讯方式:支持4G网络离线上传模式、支持蓝牙功能</w:t>
      </w:r>
    </w:p>
    <w:p>
      <w:pPr>
        <w:jc w:val="left"/>
        <w:rPr>
          <w:rFonts w:hint="eastAsia" w:ascii="仿宋" w:hAnsi="仿宋" w:eastAsia="仿宋" w:cs="仿宋"/>
          <w:sz w:val="32"/>
          <w:szCs w:val="32"/>
          <w:lang w:eastAsia="zh-CN"/>
        </w:rPr>
      </w:pPr>
    </w:p>
    <w:p>
      <w:pPr>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PDA参数：</w:t>
      </w: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1、处理器:性能等于或优于1.5G</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四核处理器</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2、操作系统:Android 8.</w:t>
      </w:r>
      <w:r>
        <w:rPr>
          <w:rFonts w:hint="eastAsia" w:ascii="仿宋" w:hAnsi="仿宋" w:eastAsia="仿宋" w:cs="仿宋"/>
          <w:sz w:val="32"/>
          <w:szCs w:val="32"/>
          <w:lang w:val="en-US" w:eastAsia="zh-CN"/>
        </w:rPr>
        <w:t>0及以上版本</w:t>
      </w:r>
    </w:p>
    <w:p>
      <w:pPr>
        <w:jc w:val="left"/>
        <w:rPr>
          <w:rFonts w:hint="eastAsia" w:ascii="仿宋" w:hAnsi="仿宋" w:eastAsia="仿宋" w:cs="仿宋"/>
          <w:color w:val="FF0000"/>
          <w:sz w:val="32"/>
          <w:szCs w:val="32"/>
          <w:lang w:eastAsia="zh-CN"/>
        </w:rPr>
      </w:pPr>
      <w:r>
        <w:rPr>
          <w:rFonts w:hint="eastAsia" w:ascii="仿宋" w:hAnsi="仿宋" w:eastAsia="仿宋" w:cs="仿宋"/>
          <w:sz w:val="32"/>
          <w:szCs w:val="32"/>
          <w:lang w:eastAsia="zh-CN"/>
        </w:rPr>
        <w:t>3、存储:≥</w:t>
      </w:r>
      <w:r>
        <w:rPr>
          <w:rFonts w:hint="eastAsia" w:ascii="仿宋" w:hAnsi="仿宋" w:eastAsia="仿宋" w:cs="仿宋"/>
          <w:color w:val="000000" w:themeColor="text1"/>
          <w:sz w:val="32"/>
          <w:szCs w:val="32"/>
          <w:lang w:eastAsia="zh-CN"/>
          <w14:textFill>
            <w14:solidFill>
              <w14:schemeClr w14:val="tx1"/>
            </w14:solidFill>
          </w14:textFill>
        </w:rPr>
        <w:t>2GB RAM 16GB ROM</w:t>
      </w:r>
    </w:p>
    <w:p>
      <w:pPr>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、显示屏:电容式触摸屏(分辨率≥ 800x480)</w:t>
      </w:r>
    </w:p>
    <w:p>
      <w:p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lang w:eastAsia="zh-CN"/>
          <w14:textFill>
            <w14:solidFill>
              <w14:schemeClr w14:val="tx1"/>
            </w14:solidFill>
          </w14:textFill>
        </w:rPr>
        <w:t>电池:主电池3.7V，≥3700mAh</w:t>
      </w:r>
    </w:p>
    <w:p>
      <w:pPr>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、定位系统:支持GPS(AGPS)、北斗</w:t>
      </w:r>
    </w:p>
    <w:p>
      <w:pPr>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、防护等级:</w:t>
      </w:r>
      <w:r>
        <w:rPr>
          <w:rFonts w:hint="eastAsia" w:ascii="仿宋" w:hAnsi="仿宋" w:eastAsia="仿宋" w:cs="仿宋"/>
          <w:sz w:val="32"/>
          <w:szCs w:val="32"/>
          <w:lang w:val="en-US" w:eastAsia="zh-CN"/>
        </w:rPr>
        <w:t>I</w:t>
      </w:r>
      <w:r>
        <w:rPr>
          <w:rFonts w:hint="eastAsia" w:ascii="仿宋" w:hAnsi="仿宋" w:eastAsia="仿宋" w:cs="仿宋"/>
          <w:sz w:val="32"/>
          <w:szCs w:val="32"/>
          <w:lang w:eastAsia="zh-CN"/>
        </w:rPr>
        <w:t>P65</w:t>
      </w:r>
    </w:p>
    <w:p>
      <w:pPr>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、支持WLAN:IEEE 80211 a/b/g/n.2.4GHz and 5GHz</w:t>
      </w:r>
    </w:p>
    <w:p>
      <w:pPr>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、支持4G网络:TD-LTE(Band38/Band39/Band40/Band41)</w:t>
      </w:r>
    </w:p>
    <w:p>
      <w:r>
        <w:rPr>
          <w:rFonts w:hint="eastAsia" w:ascii="仿宋" w:hAnsi="仿宋" w:eastAsia="仿宋" w:cs="仿宋"/>
          <w:sz w:val="32"/>
          <w:szCs w:val="32"/>
          <w:lang w:eastAsia="zh-CN"/>
        </w:rPr>
        <w:t>FDD-LTE(B1、B2、B3、B5、B7、B8、B20、B28)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8354B"/>
    <w:rsid w:val="6FC8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2021-11-12T13:34:00Z</dcterms:created>
  <dc:creator>美少女壮士</dc:creator>
  <cp:lastModifiedBy>美少女壮士</cp:lastModifiedBy>
  <dcterms:modified xsi:type="dcterms:W3CDTF">2021-11-12T13:40:43Z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